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2E1" w:rsidRDefault="007742E1"/>
    <w:tbl>
      <w:tblPr>
        <w:tblW w:w="9825" w:type="dxa"/>
        <w:tblCellMar>
          <w:left w:w="115" w:type="dxa"/>
          <w:right w:w="115" w:type="dxa"/>
        </w:tblCellMar>
        <w:tblLook w:val="0000" w:firstRow="0" w:lastRow="0" w:firstColumn="0" w:lastColumn="0" w:noHBand="0" w:noVBand="0"/>
      </w:tblPr>
      <w:tblGrid>
        <w:gridCol w:w="5155"/>
        <w:gridCol w:w="4670"/>
      </w:tblGrid>
      <w:tr w:rsidR="00592813">
        <w:trPr>
          <w:cantSplit/>
          <w:trHeight w:val="905"/>
        </w:trPr>
        <w:tc>
          <w:tcPr>
            <w:tcW w:w="5155" w:type="dxa"/>
          </w:tcPr>
          <w:p w:rsidR="00592813" w:rsidRPr="00D533C1" w:rsidRDefault="00592813" w:rsidP="00592813">
            <w:pPr>
              <w:jc w:val="both"/>
              <w:rPr>
                <w:rFonts w:cs="Arial"/>
                <w:sz w:val="60"/>
                <w:szCs w:val="60"/>
              </w:rPr>
            </w:pPr>
            <w:r w:rsidRPr="00D533C1">
              <w:rPr>
                <w:rFonts w:cs="Arial"/>
                <w:sz w:val="60"/>
                <w:szCs w:val="60"/>
              </w:rPr>
              <w:t>MEMO</w:t>
            </w:r>
          </w:p>
        </w:tc>
        <w:tc>
          <w:tcPr>
            <w:tcW w:w="4670" w:type="dxa"/>
            <w:vMerge w:val="restart"/>
          </w:tcPr>
          <w:p w:rsidR="00592813" w:rsidRDefault="00592813" w:rsidP="00592813">
            <w:pPr>
              <w:pStyle w:val="CommentText"/>
              <w:tabs>
                <w:tab w:val="left" w:pos="972"/>
              </w:tabs>
              <w:rPr>
                <w:rFonts w:cs="Arial"/>
                <w:b/>
                <w:sz w:val="26"/>
                <w:szCs w:val="24"/>
              </w:rPr>
            </w:pPr>
          </w:p>
          <w:p w:rsidR="006857C5" w:rsidRDefault="006857C5" w:rsidP="00592813">
            <w:pPr>
              <w:pStyle w:val="CommentText"/>
              <w:tabs>
                <w:tab w:val="left" w:pos="972"/>
              </w:tabs>
              <w:rPr>
                <w:sz w:val="24"/>
                <w:szCs w:val="24"/>
              </w:rPr>
            </w:pPr>
            <w:r>
              <w:rPr>
                <w:szCs w:val="24"/>
              </w:rPr>
              <w:t>Department of Place</w:t>
            </w:r>
          </w:p>
          <w:p w:rsidR="006857C5" w:rsidRDefault="006857C5" w:rsidP="00592813">
            <w:pPr>
              <w:pStyle w:val="CommentText"/>
              <w:tabs>
                <w:tab w:val="left" w:pos="972"/>
              </w:tabs>
              <w:rPr>
                <w:sz w:val="24"/>
                <w:szCs w:val="24"/>
              </w:rPr>
            </w:pPr>
          </w:p>
          <w:p w:rsidR="006857C5" w:rsidRDefault="006857C5" w:rsidP="00592813">
            <w:pPr>
              <w:pStyle w:val="CommentText"/>
              <w:tabs>
                <w:tab w:val="left" w:pos="972"/>
              </w:tabs>
              <w:rPr>
                <w:sz w:val="24"/>
                <w:szCs w:val="24"/>
              </w:rPr>
            </w:pPr>
            <w:r>
              <w:rPr>
                <w:sz w:val="24"/>
                <w:szCs w:val="24"/>
              </w:rPr>
              <w:t>Building Control</w:t>
            </w:r>
          </w:p>
          <w:p w:rsidR="006857C5" w:rsidRDefault="006857C5" w:rsidP="00592813">
            <w:pPr>
              <w:pStyle w:val="CommentText"/>
              <w:tabs>
                <w:tab w:val="left" w:pos="972"/>
              </w:tabs>
              <w:rPr>
                <w:sz w:val="24"/>
                <w:szCs w:val="24"/>
              </w:rPr>
            </w:pPr>
            <w:r>
              <w:rPr>
                <w:sz w:val="24"/>
                <w:szCs w:val="24"/>
              </w:rPr>
              <w:t>Britannia House</w:t>
            </w:r>
          </w:p>
          <w:p w:rsidR="006857C5" w:rsidRDefault="006857C5" w:rsidP="00592813">
            <w:pPr>
              <w:pStyle w:val="CommentText"/>
              <w:tabs>
                <w:tab w:val="left" w:pos="972"/>
              </w:tabs>
              <w:rPr>
                <w:sz w:val="24"/>
                <w:szCs w:val="24"/>
              </w:rPr>
            </w:pPr>
            <w:r>
              <w:rPr>
                <w:sz w:val="24"/>
                <w:szCs w:val="24"/>
              </w:rPr>
              <w:t>Hall Ings</w:t>
            </w:r>
          </w:p>
          <w:p w:rsidR="006857C5" w:rsidRDefault="006857C5" w:rsidP="00592813">
            <w:pPr>
              <w:pStyle w:val="CommentText"/>
              <w:tabs>
                <w:tab w:val="left" w:pos="972"/>
              </w:tabs>
              <w:rPr>
                <w:sz w:val="24"/>
                <w:szCs w:val="24"/>
              </w:rPr>
            </w:pPr>
            <w:r>
              <w:rPr>
                <w:sz w:val="24"/>
                <w:szCs w:val="24"/>
              </w:rPr>
              <w:t>Bradford</w:t>
            </w:r>
          </w:p>
          <w:p w:rsidR="006857C5" w:rsidRDefault="006857C5" w:rsidP="00592813">
            <w:pPr>
              <w:pStyle w:val="CommentText"/>
              <w:tabs>
                <w:tab w:val="left" w:pos="972"/>
              </w:tabs>
              <w:rPr>
                <w:sz w:val="24"/>
                <w:szCs w:val="24"/>
              </w:rPr>
            </w:pPr>
            <w:r>
              <w:rPr>
                <w:sz w:val="24"/>
                <w:szCs w:val="24"/>
              </w:rPr>
              <w:t>BD1 1HX</w:t>
            </w:r>
          </w:p>
          <w:p w:rsidR="006857C5" w:rsidRDefault="006857C5" w:rsidP="00592813">
            <w:pPr>
              <w:pStyle w:val="CommentText"/>
              <w:tabs>
                <w:tab w:val="left" w:pos="972"/>
              </w:tabs>
              <w:rPr>
                <w:sz w:val="24"/>
                <w:szCs w:val="24"/>
              </w:rPr>
            </w:pPr>
          </w:p>
          <w:p w:rsidR="006857C5" w:rsidRDefault="006857C5" w:rsidP="00592813">
            <w:pPr>
              <w:pStyle w:val="CommentText"/>
              <w:tabs>
                <w:tab w:val="left" w:pos="972"/>
              </w:tabs>
              <w:rPr>
                <w:b/>
                <w:sz w:val="24"/>
                <w:szCs w:val="24"/>
              </w:rPr>
            </w:pPr>
            <w:r>
              <w:rPr>
                <w:b/>
                <w:sz w:val="24"/>
                <w:szCs w:val="24"/>
              </w:rPr>
              <w:t>From:  Martin Lumb</w:t>
            </w:r>
          </w:p>
          <w:p w:rsidR="006857C5" w:rsidRDefault="006857C5" w:rsidP="00592813">
            <w:pPr>
              <w:pStyle w:val="CommentText"/>
              <w:tabs>
                <w:tab w:val="left" w:pos="972"/>
              </w:tabs>
              <w:rPr>
                <w:b/>
                <w:sz w:val="24"/>
                <w:szCs w:val="24"/>
              </w:rPr>
            </w:pPr>
          </w:p>
          <w:p w:rsidR="006857C5" w:rsidRDefault="006857C5" w:rsidP="00592813">
            <w:pPr>
              <w:pStyle w:val="CommentText"/>
              <w:tabs>
                <w:tab w:val="left" w:pos="972"/>
              </w:tabs>
              <w:rPr>
                <w:szCs w:val="24"/>
              </w:rPr>
            </w:pPr>
            <w:r>
              <w:rPr>
                <w:szCs w:val="24"/>
              </w:rPr>
              <w:t>Tel:          (01274) 433740</w:t>
            </w:r>
          </w:p>
          <w:p w:rsidR="006857C5" w:rsidRDefault="006857C5" w:rsidP="00592813">
            <w:pPr>
              <w:pStyle w:val="CommentText"/>
              <w:tabs>
                <w:tab w:val="left" w:pos="972"/>
              </w:tabs>
              <w:rPr>
                <w:szCs w:val="24"/>
              </w:rPr>
            </w:pPr>
          </w:p>
          <w:p w:rsidR="006857C5" w:rsidRDefault="006857C5" w:rsidP="00592813">
            <w:pPr>
              <w:pStyle w:val="CommentText"/>
              <w:tabs>
                <w:tab w:val="left" w:pos="972"/>
              </w:tabs>
              <w:rPr>
                <w:szCs w:val="24"/>
              </w:rPr>
            </w:pPr>
            <w:r>
              <w:rPr>
                <w:szCs w:val="24"/>
              </w:rPr>
              <w:t>My Ref:    D/TDP/3100/ML</w:t>
            </w:r>
          </w:p>
          <w:p w:rsidR="006857C5" w:rsidRDefault="006857C5" w:rsidP="00592813">
            <w:pPr>
              <w:pStyle w:val="CommentText"/>
              <w:tabs>
                <w:tab w:val="left" w:pos="972"/>
              </w:tabs>
              <w:rPr>
                <w:szCs w:val="24"/>
              </w:rPr>
            </w:pPr>
            <w:r>
              <w:rPr>
                <w:szCs w:val="24"/>
              </w:rPr>
              <w:t>Your Ref:  21/06173/FUL</w:t>
            </w:r>
          </w:p>
          <w:p w:rsidR="006857C5" w:rsidRDefault="006857C5" w:rsidP="00592813">
            <w:pPr>
              <w:pStyle w:val="CommentText"/>
              <w:tabs>
                <w:tab w:val="left" w:pos="972"/>
              </w:tabs>
              <w:rPr>
                <w:szCs w:val="24"/>
              </w:rPr>
            </w:pPr>
          </w:p>
          <w:p w:rsidR="006857C5" w:rsidRDefault="006857C5" w:rsidP="00592813">
            <w:pPr>
              <w:pStyle w:val="CommentText"/>
              <w:tabs>
                <w:tab w:val="left" w:pos="972"/>
              </w:tabs>
              <w:rPr>
                <w:szCs w:val="24"/>
              </w:rPr>
            </w:pPr>
            <w:r>
              <w:rPr>
                <w:szCs w:val="24"/>
              </w:rPr>
              <w:t>Date:  21 December 2021</w:t>
            </w:r>
          </w:p>
          <w:p w:rsidR="006857C5" w:rsidRPr="006857C5" w:rsidRDefault="006857C5" w:rsidP="00592813">
            <w:pPr>
              <w:pStyle w:val="CommentText"/>
              <w:tabs>
                <w:tab w:val="left" w:pos="972"/>
              </w:tabs>
              <w:rPr>
                <w:szCs w:val="24"/>
              </w:rPr>
            </w:pPr>
          </w:p>
        </w:tc>
      </w:tr>
      <w:tr w:rsidR="00592813">
        <w:trPr>
          <w:cantSplit/>
          <w:trHeight w:val="3560"/>
        </w:trPr>
        <w:tc>
          <w:tcPr>
            <w:tcW w:w="5155" w:type="dxa"/>
            <w:tcBorders>
              <w:bottom w:val="single" w:sz="4" w:space="0" w:color="auto"/>
            </w:tcBorders>
          </w:tcPr>
          <w:p w:rsidR="00592813" w:rsidRDefault="00592813" w:rsidP="00592813">
            <w:pPr>
              <w:tabs>
                <w:tab w:val="left" w:pos="520"/>
              </w:tabs>
              <w:rPr>
                <w:rFonts w:cs="Arial"/>
              </w:rPr>
            </w:pPr>
          </w:p>
          <w:p w:rsidR="006857C5" w:rsidRDefault="006857C5" w:rsidP="00592813">
            <w:pPr>
              <w:tabs>
                <w:tab w:val="left" w:pos="520"/>
              </w:tabs>
              <w:rPr>
                <w:rFonts w:cs="Arial"/>
              </w:rPr>
            </w:pPr>
            <w:r>
              <w:rPr>
                <w:rFonts w:cs="Arial"/>
              </w:rPr>
              <w:t>To:    Development Services</w:t>
            </w:r>
          </w:p>
          <w:p w:rsidR="006857C5" w:rsidRDefault="006857C5" w:rsidP="00592813">
            <w:pPr>
              <w:tabs>
                <w:tab w:val="left" w:pos="520"/>
              </w:tabs>
              <w:rPr>
                <w:rFonts w:cs="Arial"/>
              </w:rPr>
            </w:pPr>
          </w:p>
          <w:p w:rsidR="006857C5" w:rsidRDefault="006857C5" w:rsidP="00592813">
            <w:pPr>
              <w:tabs>
                <w:tab w:val="left" w:pos="520"/>
              </w:tabs>
              <w:rPr>
                <w:rFonts w:cs="Arial"/>
              </w:rPr>
            </w:pPr>
          </w:p>
          <w:p w:rsidR="006857C5" w:rsidRDefault="006857C5" w:rsidP="00592813">
            <w:pPr>
              <w:tabs>
                <w:tab w:val="left" w:pos="520"/>
              </w:tabs>
              <w:rPr>
                <w:rFonts w:cs="Arial"/>
              </w:rPr>
            </w:pPr>
          </w:p>
          <w:p w:rsidR="006857C5" w:rsidRPr="006857C5" w:rsidRDefault="006857C5" w:rsidP="00592813">
            <w:pPr>
              <w:tabs>
                <w:tab w:val="left" w:pos="520"/>
              </w:tabs>
              <w:rPr>
                <w:rFonts w:cs="Arial"/>
              </w:rPr>
            </w:pPr>
            <w:r>
              <w:rPr>
                <w:rFonts w:cs="Arial"/>
              </w:rPr>
              <w:t>Fao:   To Be Assigned To An Officer</w:t>
            </w:r>
          </w:p>
        </w:tc>
        <w:tc>
          <w:tcPr>
            <w:tcW w:w="4670" w:type="dxa"/>
            <w:vMerge/>
            <w:tcBorders>
              <w:bottom w:val="single" w:sz="4" w:space="0" w:color="auto"/>
            </w:tcBorders>
          </w:tcPr>
          <w:p w:rsidR="00592813" w:rsidRDefault="00592813" w:rsidP="00592813">
            <w:pPr>
              <w:rPr>
                <w:rFonts w:cs="Arial"/>
              </w:rPr>
            </w:pPr>
          </w:p>
        </w:tc>
      </w:tr>
      <w:tr w:rsidR="00592813">
        <w:trPr>
          <w:cantSplit/>
          <w:trHeight w:val="70"/>
        </w:trPr>
        <w:tc>
          <w:tcPr>
            <w:tcW w:w="5155" w:type="dxa"/>
            <w:tcBorders>
              <w:top w:val="single" w:sz="4" w:space="0" w:color="auto"/>
            </w:tcBorders>
          </w:tcPr>
          <w:p w:rsidR="00592813" w:rsidRDefault="00592813" w:rsidP="00592813">
            <w:pPr>
              <w:rPr>
                <w:rFonts w:cs="Arial"/>
              </w:rPr>
            </w:pPr>
          </w:p>
        </w:tc>
        <w:tc>
          <w:tcPr>
            <w:tcW w:w="4670" w:type="dxa"/>
            <w:tcBorders>
              <w:top w:val="single" w:sz="4" w:space="0" w:color="auto"/>
            </w:tcBorders>
          </w:tcPr>
          <w:p w:rsidR="00592813" w:rsidRDefault="00592813" w:rsidP="00592813">
            <w:pPr>
              <w:pStyle w:val="CommentText"/>
              <w:tabs>
                <w:tab w:val="left" w:pos="972"/>
              </w:tabs>
              <w:rPr>
                <w:rFonts w:cs="Arial"/>
              </w:rPr>
            </w:pPr>
          </w:p>
        </w:tc>
      </w:tr>
    </w:tbl>
    <w:p w:rsidR="006857C5" w:rsidRDefault="006857C5" w:rsidP="00592813">
      <w:pPr>
        <w:rPr>
          <w:b/>
        </w:rPr>
      </w:pPr>
      <w:r>
        <w:rPr>
          <w:b/>
        </w:rPr>
        <w:t>TOWN PLANNING APPLICATION NO</w:t>
      </w:r>
      <w:r w:rsidR="00C32647">
        <w:rPr>
          <w:b/>
        </w:rPr>
        <w:t>.</w:t>
      </w:r>
      <w:r>
        <w:rPr>
          <w:b/>
        </w:rPr>
        <w:t xml:space="preserve">  21/06173/FUL</w:t>
      </w:r>
    </w:p>
    <w:p w:rsidR="006857C5" w:rsidRDefault="006857C5" w:rsidP="00592813">
      <w:pPr>
        <w:rPr>
          <w:b/>
        </w:rPr>
      </w:pPr>
    </w:p>
    <w:p w:rsidR="006857C5" w:rsidRDefault="006857C5" w:rsidP="00592813">
      <w:pPr>
        <w:rPr>
          <w:b/>
        </w:rPr>
      </w:pPr>
      <w:r>
        <w:rPr>
          <w:b/>
        </w:rPr>
        <w:t>PROPOSAL</w:t>
      </w:r>
      <w:r w:rsidR="00C32647">
        <w:rPr>
          <w:b/>
        </w:rPr>
        <w:t>.</w:t>
      </w:r>
      <w:r>
        <w:rPr>
          <w:b/>
        </w:rPr>
        <w:t xml:space="preserve">  Conversion of an existing permanent stable building into a dwelling house with a detached timber carport, garden store and associated gardens.</w:t>
      </w:r>
    </w:p>
    <w:p w:rsidR="006857C5" w:rsidRDefault="006857C5" w:rsidP="00592813">
      <w:pPr>
        <w:rPr>
          <w:b/>
        </w:rPr>
      </w:pPr>
    </w:p>
    <w:p w:rsidR="006857C5" w:rsidRDefault="006857C5" w:rsidP="00592813">
      <w:pPr>
        <w:rPr>
          <w:b/>
        </w:rPr>
      </w:pPr>
      <w:r>
        <w:rPr>
          <w:b/>
        </w:rPr>
        <w:t>LOCATION</w:t>
      </w:r>
      <w:r w:rsidR="00C32647">
        <w:rPr>
          <w:b/>
        </w:rPr>
        <w:t>.</w:t>
      </w:r>
      <w:r>
        <w:rPr>
          <w:b/>
        </w:rPr>
        <w:t xml:space="preserve">  The Stables Off Ben Rhydding Drive Ilkley West Yorkshire LS29 8BD </w:t>
      </w:r>
    </w:p>
    <w:p w:rsidR="006857C5" w:rsidRDefault="006857C5" w:rsidP="00592813">
      <w:pPr>
        <w:rPr>
          <w:b/>
        </w:rPr>
      </w:pPr>
    </w:p>
    <w:p w:rsidR="006857C5" w:rsidRDefault="006857C5" w:rsidP="00592813">
      <w:r>
        <w:rPr>
          <w:b/>
        </w:rPr>
        <w:t>With reference to the above application I list below the drainage conditions which are appropriate.</w:t>
      </w:r>
    </w:p>
    <w:p w:rsidR="006857C5" w:rsidRDefault="006857C5" w:rsidP="00592813"/>
    <w:p w:rsidR="006857C5" w:rsidRDefault="006857C5" w:rsidP="00592813">
      <w:r>
        <w:t>DR06 – Details of percolation test</w:t>
      </w:r>
      <w:r w:rsidR="00C32647">
        <w:t>s</w:t>
      </w:r>
      <w:r>
        <w:t xml:space="preserve"> and soakaways required</w:t>
      </w:r>
      <w:r w:rsidR="00C32647">
        <w:t>.</w:t>
      </w:r>
      <w:bookmarkStart w:id="0" w:name="_GoBack"/>
      <w:bookmarkEnd w:id="0"/>
    </w:p>
    <w:p w:rsidR="006857C5" w:rsidRDefault="006857C5" w:rsidP="00592813"/>
    <w:p w:rsidR="006857C5" w:rsidRDefault="006857C5" w:rsidP="00592813">
      <w:r>
        <w:t>The surface water drainage works shall not commence until the results of ground percolation tests and subsequent design details of the proposed soakaways serving the development have been submitted to, and subsequently approved in writing by the Local Planning Authority. Percolation tests and soakaway design shall be conducted in accordance with Building Research Establishment Digest No 365. The development shall thereafter only proceed in strict accordance with the approved soakaway drainage details.</w:t>
      </w:r>
    </w:p>
    <w:p w:rsidR="006857C5" w:rsidRDefault="006857C5" w:rsidP="00592813"/>
    <w:p w:rsidR="006857C5" w:rsidRDefault="006857C5" w:rsidP="00592813">
      <w:r>
        <w:t>Reason: In the interests of the amenity of future occupiers, pollution prevention and the effective management of flood risk and to accord with Policies DS5, EN7 and EN8 of the Core Strategy Development Plan Document.</w:t>
      </w:r>
    </w:p>
    <w:p w:rsidR="006857C5" w:rsidRDefault="006857C5" w:rsidP="00592813"/>
    <w:p w:rsidR="006857C5" w:rsidRPr="006857C5" w:rsidRDefault="006857C5" w:rsidP="00592813">
      <w:r>
        <w:t>I note the proposal to drain foul water from the development to an existing private combined sewer located in the unadopted access road, this proposal is acceptable subject to the developer providing survey details of the existing sewer to demonstrate it is hydraulically &amp; structurally suitable to drain the proposal.</w:t>
      </w:r>
    </w:p>
    <w:p w:rsidR="00AF541F" w:rsidRDefault="00AF541F" w:rsidP="00592813">
      <w:pPr>
        <w:rPr>
          <w:b/>
        </w:rPr>
      </w:pPr>
    </w:p>
    <w:p w:rsidR="00592813" w:rsidRDefault="00592813" w:rsidP="00592813">
      <w:pPr>
        <w:rPr>
          <w:b/>
        </w:rPr>
      </w:pPr>
    </w:p>
    <w:sectPr w:rsidR="00592813" w:rsidSect="002617F9">
      <w:headerReference w:type="default" r:id="rId6"/>
      <w:headerReference w:type="first" r:id="rId7"/>
      <w:footerReference w:type="first" r:id="rId8"/>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7C5" w:rsidRDefault="006857C5">
      <w:r>
        <w:separator/>
      </w:r>
    </w:p>
  </w:endnote>
  <w:endnote w:type="continuationSeparator" w:id="0">
    <w:p w:rsidR="006857C5" w:rsidRDefault="0068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1F" w:rsidRPr="00AC1CD6" w:rsidRDefault="00C32647" w:rsidP="00AC1CD6">
    <w:pPr>
      <w:pStyle w:val="Footer"/>
    </w:pPr>
    <w:r>
      <w:rPr>
        <w:noProof/>
        <w:lang w:eastAsia="en-GB"/>
      </w:rPr>
      <w:drawing>
        <wp:anchor distT="0" distB="0" distL="114300" distR="114300" simplePos="0" relativeHeight="251657216" behindDoc="0" locked="0" layoutInCell="1" allowOverlap="1">
          <wp:simplePos x="0" y="0"/>
          <wp:positionH relativeFrom="page">
            <wp:posOffset>762000</wp:posOffset>
          </wp:positionH>
          <wp:positionV relativeFrom="page">
            <wp:posOffset>9715500</wp:posOffset>
          </wp:positionV>
          <wp:extent cx="619125" cy="466725"/>
          <wp:effectExtent l="0" t="0" r="0" b="0"/>
          <wp:wrapNone/>
          <wp:docPr id="3" name="Picture 1" descr="Description: W:\banners\New Image LOGO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banners\New Image LOGO 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page">
            <wp:posOffset>1651000</wp:posOffset>
          </wp:positionH>
          <wp:positionV relativeFrom="page">
            <wp:posOffset>9652000</wp:posOffset>
          </wp:positionV>
          <wp:extent cx="723900" cy="561975"/>
          <wp:effectExtent l="0" t="0" r="0" b="0"/>
          <wp:wrapNone/>
          <wp:docPr id="2" name="Picture 2" descr="Description: W:\banners\9001 Black &amp;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banners\9001 Black &amp; Whi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7C5" w:rsidRDefault="006857C5">
      <w:r>
        <w:separator/>
      </w:r>
    </w:p>
  </w:footnote>
  <w:footnote w:type="continuationSeparator" w:id="0">
    <w:p w:rsidR="006857C5" w:rsidRDefault="006857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1F" w:rsidRDefault="00AF541F" w:rsidP="007742E1">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41F" w:rsidRDefault="00C32647" w:rsidP="00AC1CD6">
    <w:pPr>
      <w:pStyle w:val="Header"/>
      <w:jc w:val="right"/>
    </w:pPr>
    <w:r w:rsidRPr="002266EA">
      <w:rPr>
        <w:noProof/>
        <w:lang w:eastAsia="en-GB"/>
      </w:rPr>
      <w:drawing>
        <wp:inline distT="0" distB="0" distL="0" distR="0">
          <wp:extent cx="3143250" cy="885825"/>
          <wp:effectExtent l="0" t="0" r="0" b="0"/>
          <wp:docPr id="1" name="Picture 6" descr="Description: W:\Banners\newlogo_re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W:\Banners\newlogo_resi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0" cy="885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C5"/>
    <w:rsid w:val="000805A4"/>
    <w:rsid w:val="000A4564"/>
    <w:rsid w:val="000B336C"/>
    <w:rsid w:val="00141FB0"/>
    <w:rsid w:val="001D7017"/>
    <w:rsid w:val="00251D52"/>
    <w:rsid w:val="002617F9"/>
    <w:rsid w:val="00272609"/>
    <w:rsid w:val="002D7CC9"/>
    <w:rsid w:val="002E6D49"/>
    <w:rsid w:val="00301D4E"/>
    <w:rsid w:val="0030404A"/>
    <w:rsid w:val="003B6030"/>
    <w:rsid w:val="00462905"/>
    <w:rsid w:val="004646E0"/>
    <w:rsid w:val="004C7A87"/>
    <w:rsid w:val="00570C84"/>
    <w:rsid w:val="00592813"/>
    <w:rsid w:val="005C25BD"/>
    <w:rsid w:val="00612BDE"/>
    <w:rsid w:val="006474D2"/>
    <w:rsid w:val="006857C5"/>
    <w:rsid w:val="00685BEC"/>
    <w:rsid w:val="006A3C43"/>
    <w:rsid w:val="006D38A6"/>
    <w:rsid w:val="00715BB4"/>
    <w:rsid w:val="007245B8"/>
    <w:rsid w:val="00736D8F"/>
    <w:rsid w:val="007742E1"/>
    <w:rsid w:val="00794F59"/>
    <w:rsid w:val="007F3B15"/>
    <w:rsid w:val="00832853"/>
    <w:rsid w:val="00832EC1"/>
    <w:rsid w:val="00855AD4"/>
    <w:rsid w:val="00894B9B"/>
    <w:rsid w:val="008B1D1A"/>
    <w:rsid w:val="008D7F95"/>
    <w:rsid w:val="00941B9D"/>
    <w:rsid w:val="00966A11"/>
    <w:rsid w:val="009A595E"/>
    <w:rsid w:val="009B62CB"/>
    <w:rsid w:val="009C595F"/>
    <w:rsid w:val="00A026AA"/>
    <w:rsid w:val="00A13847"/>
    <w:rsid w:val="00AC1CD6"/>
    <w:rsid w:val="00AF541F"/>
    <w:rsid w:val="00B755A8"/>
    <w:rsid w:val="00B85442"/>
    <w:rsid w:val="00C24555"/>
    <w:rsid w:val="00C32647"/>
    <w:rsid w:val="00CB37E0"/>
    <w:rsid w:val="00CB7E96"/>
    <w:rsid w:val="00CE06D8"/>
    <w:rsid w:val="00D044C6"/>
    <w:rsid w:val="00D94243"/>
    <w:rsid w:val="00D97EE6"/>
    <w:rsid w:val="00DC7A89"/>
    <w:rsid w:val="00E852CD"/>
    <w:rsid w:val="00F26628"/>
    <w:rsid w:val="00F3701E"/>
    <w:rsid w:val="00F6777A"/>
    <w:rsid w:val="00F74326"/>
    <w:rsid w:val="00F94B5D"/>
    <w:rsid w:val="00FB396B"/>
    <w:rsid w:val="00FC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3A6CC8C"/>
  <w15:chartTrackingRefBased/>
  <w15:docId w15:val="{3D55EC01-37D0-4CFB-8566-01EB1196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813"/>
    <w:rPr>
      <w:rFonts w:ascii="Arial" w:hAnsi="Arial"/>
      <w:sz w:val="24"/>
      <w:szCs w:val="24"/>
      <w:lang w:eastAsia="en-US"/>
    </w:rPr>
  </w:style>
  <w:style w:type="paragraph" w:styleId="Heading3">
    <w:name w:val="heading 3"/>
    <w:basedOn w:val="Normal"/>
    <w:next w:val="Normal"/>
    <w:qFormat/>
    <w:rsid w:val="00592813"/>
    <w:pPr>
      <w:keepNext/>
      <w:tabs>
        <w:tab w:val="left" w:pos="-1440"/>
      </w:tabs>
      <w:jc w:val="both"/>
      <w:outlineLvl w:val="2"/>
    </w:pPr>
    <w:rPr>
      <w:rFonts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42E1"/>
    <w:pPr>
      <w:tabs>
        <w:tab w:val="center" w:pos="4153"/>
        <w:tab w:val="right" w:pos="8306"/>
      </w:tabs>
    </w:pPr>
  </w:style>
  <w:style w:type="paragraph" w:styleId="Footer">
    <w:name w:val="footer"/>
    <w:basedOn w:val="Normal"/>
    <w:rsid w:val="007742E1"/>
    <w:pPr>
      <w:tabs>
        <w:tab w:val="center" w:pos="4153"/>
        <w:tab w:val="right" w:pos="8306"/>
      </w:tabs>
    </w:pPr>
  </w:style>
  <w:style w:type="paragraph" w:styleId="CommentText">
    <w:name w:val="annotation text"/>
    <w:basedOn w:val="Normal"/>
    <w:semiHidden/>
    <w:rsid w:val="00592813"/>
    <w:rPr>
      <w:sz w:val="20"/>
      <w:szCs w:val="20"/>
    </w:rPr>
  </w:style>
  <w:style w:type="paragraph" w:styleId="BodyText2">
    <w:name w:val="Body Text 2"/>
    <w:basedOn w:val="Normal"/>
    <w:rsid w:val="00592813"/>
    <w:pPr>
      <w:tabs>
        <w:tab w:val="left" w:pos="-1440"/>
      </w:tabs>
      <w:jc w:val="both"/>
    </w:pPr>
    <w:rPr>
      <w:b/>
      <w:bCs/>
      <w:sz w:val="26"/>
    </w:rPr>
  </w:style>
  <w:style w:type="paragraph" w:styleId="BalloonText">
    <w:name w:val="Balloon Text"/>
    <w:basedOn w:val="Normal"/>
    <w:link w:val="BalloonTextChar"/>
    <w:rsid w:val="00941B9D"/>
    <w:rPr>
      <w:rFonts w:ascii="Tahoma" w:hAnsi="Tahoma" w:cs="Tahoma"/>
      <w:sz w:val="16"/>
      <w:szCs w:val="16"/>
    </w:rPr>
  </w:style>
  <w:style w:type="character" w:customStyle="1" w:styleId="BalloonTextChar">
    <w:name w:val="Balloon Text Char"/>
    <w:link w:val="BalloonText"/>
    <w:rsid w:val="00941B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218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Building%20Control%20Services\Drainage\Planning%20Consultations\DrainageMemo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DrainageMemoTemplate3</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vt:lpstr>
    </vt:vector>
  </TitlesOfParts>
  <Company>City of Bradford MDC</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Martin Lumb</dc:creator>
  <cp:keywords/>
  <cp:lastModifiedBy>Martin Lumb</cp:lastModifiedBy>
  <cp:revision>2</cp:revision>
  <cp:lastPrinted>1901-01-01T00:00:00Z</cp:lastPrinted>
  <dcterms:created xsi:type="dcterms:W3CDTF">2021-12-21T14:10:00Z</dcterms:created>
  <dcterms:modified xsi:type="dcterms:W3CDTF">2021-12-21T14:10:00Z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o">
    <vt:lpwstr>Peter Timbrell</vt:lpwstr>
  </property>
  <property fmtid="{D5CDD505-2E9C-101B-9397-08002B2CF9AE}" pid="3" name="From">
    <vt:lpwstr>Martin Lumb</vt:lpwstr>
  </property>
  <property fmtid="{D5CDD505-2E9C-101B-9397-08002B2CF9AE}" pid="4" name="Tel">
    <vt:lpwstr>(01274) 433740</vt:lpwstr>
  </property>
  <property fmtid="{D5CDD505-2E9C-101B-9397-08002B2CF9AE}" pid="5" name="Email">
    <vt:lpwstr>martin.lumb@bradford.gov.uk</vt:lpwstr>
  </property>
  <property fmtid="{D5CDD505-2E9C-101B-9397-08002B2CF9AE}" pid="6" name="Myref">
    <vt:lpwstr>ML</vt:lpwstr>
  </property>
  <property fmtid="{D5CDD505-2E9C-101B-9397-08002B2CF9AE}" pid="7" name="Yourref">
    <vt:lpwstr>08/01580/VOC</vt:lpwstr>
  </property>
  <property fmtid="{D5CDD505-2E9C-101B-9397-08002B2CF9AE}" pid="8" name="Date">
    <vt:lpwstr>29 May 2008</vt:lpwstr>
  </property>
  <property fmtid="{D5CDD505-2E9C-101B-9397-08002B2CF9AE}" pid="9" name="To1">
    <vt:lpwstr>Development Services</vt:lpwstr>
  </property>
  <property fmtid="{D5CDD505-2E9C-101B-9397-08002B2CF9AE}" pid="10" name="To2">
    <vt:lpwstr>Keighley Town Hall</vt:lpwstr>
  </property>
  <property fmtid="{D5CDD505-2E9C-101B-9397-08002B2CF9AE}" pid="11" name="To3">
    <vt:lpwstr>Bow Street</vt:lpwstr>
  </property>
  <property fmtid="{D5CDD505-2E9C-101B-9397-08002B2CF9AE}" pid="12" name="To4">
    <vt:lpwstr>Keighley</vt:lpwstr>
  </property>
  <property fmtid="{D5CDD505-2E9C-101B-9397-08002B2CF9AE}" pid="13" name="To5">
    <vt:lpwstr>BD21 3PA</vt:lpwstr>
  </property>
  <property fmtid="{D5CDD505-2E9C-101B-9397-08002B2CF9AE}" pid="14" name="P1">
    <vt:lpwstr>The construction of a two bedroom bungalow to be known as 425A Bradford Road to the rear of 425 Bradford Road, Sandbeds</vt:lpwstr>
  </property>
  <property fmtid="{D5CDD505-2E9C-101B-9397-08002B2CF9AE}" pid="15" name="P2">
    <vt:lpwstr/>
  </property>
  <property fmtid="{D5CDD505-2E9C-101B-9397-08002B2CF9AE}" pid="16" name="P3">
    <vt:lpwstr/>
  </property>
  <property fmtid="{D5CDD505-2E9C-101B-9397-08002B2CF9AE}" pid="17" name="P4">
    <vt:lpwstr/>
  </property>
  <property fmtid="{D5CDD505-2E9C-101B-9397-08002B2CF9AE}" pid="18" name="P5">
    <vt:lpwstr/>
  </property>
  <property fmtid="{D5CDD505-2E9C-101B-9397-08002B2CF9AE}" pid="19" name="P6">
    <vt:lpwstr/>
  </property>
  <property fmtid="{D5CDD505-2E9C-101B-9397-08002B2CF9AE}" pid="20" name="P7">
    <vt:lpwstr/>
  </property>
  <property fmtid="{D5CDD505-2E9C-101B-9397-08002B2CF9AE}" pid="21" name="P8">
    <vt:lpwstr/>
  </property>
  <property fmtid="{D5CDD505-2E9C-101B-9397-08002B2CF9AE}" pid="22" name="P9">
    <vt:lpwstr/>
  </property>
  <property fmtid="{D5CDD505-2E9C-101B-9397-08002B2CF9AE}" pid="23" name="P10">
    <vt:lpwstr/>
  </property>
  <property fmtid="{D5CDD505-2E9C-101B-9397-08002B2CF9AE}" pid="24" name="L1">
    <vt:lpwstr>425 Bradford Road Sandbeds Keighley BD20 5NH </vt:lpwstr>
  </property>
  <property fmtid="{D5CDD505-2E9C-101B-9397-08002B2CF9AE}" pid="25" name="L2">
    <vt:lpwstr/>
  </property>
  <property fmtid="{D5CDD505-2E9C-101B-9397-08002B2CF9AE}" pid="26" name="DC1">
    <vt:lpwstr>Previous comments for this site, made under application 04/05555/FUL still apply.</vt:lpwstr>
  </property>
  <property fmtid="{D5CDD505-2E9C-101B-9397-08002B2CF9AE}" pid="27" name="DC2">
    <vt:lpwstr/>
  </property>
  <property fmtid="{D5CDD505-2E9C-101B-9397-08002B2CF9AE}" pid="28" name="DC3">
    <vt:lpwstr/>
  </property>
  <property fmtid="{D5CDD505-2E9C-101B-9397-08002B2CF9AE}" pid="29" name="DC4">
    <vt:lpwstr/>
  </property>
  <property fmtid="{D5CDD505-2E9C-101B-9397-08002B2CF9AE}" pid="30" name="DC5">
    <vt:lpwstr/>
  </property>
  <property fmtid="{D5CDD505-2E9C-101B-9397-08002B2CF9AE}" pid="31" name="DC6">
    <vt:lpwstr/>
  </property>
  <property fmtid="{D5CDD505-2E9C-101B-9397-08002B2CF9AE}" pid="32" name="DC7">
    <vt:lpwstr/>
  </property>
  <property fmtid="{D5CDD505-2E9C-101B-9397-08002B2CF9AE}" pid="33" name="DC8">
    <vt:lpwstr/>
  </property>
  <property fmtid="{D5CDD505-2E9C-101B-9397-08002B2CF9AE}" pid="34" name="DC9">
    <vt:lpwstr/>
  </property>
  <property fmtid="{D5CDD505-2E9C-101B-9397-08002B2CF9AE}" pid="35" name="DC10">
    <vt:lpwstr/>
  </property>
</Properties>
</file>